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66" w:rsidRDefault="006F4866" w:rsidP="006F4866">
      <w:bookmarkStart w:id="0" w:name="_GoBack"/>
      <w:bookmarkEnd w:id="0"/>
      <w:r>
        <w:t>Wiedza o społeczeństwie, SB, klasa III, zdalne nauczanie.</w:t>
      </w:r>
    </w:p>
    <w:p w:rsidR="006F4866" w:rsidRDefault="006F4866" w:rsidP="006F4866">
      <w:pPr>
        <w:rPr>
          <w:b/>
          <w:bCs/>
          <w:sz w:val="32"/>
          <w:szCs w:val="32"/>
        </w:rPr>
      </w:pPr>
      <w:r>
        <w:t xml:space="preserve">Temat:  </w:t>
      </w:r>
      <w:r>
        <w:rPr>
          <w:b/>
          <w:bCs/>
          <w:sz w:val="32"/>
          <w:szCs w:val="32"/>
        </w:rPr>
        <w:t>Poznajemy konsekwencje swoich czynów.</w:t>
      </w:r>
    </w:p>
    <w:p w:rsidR="006F4866" w:rsidRDefault="006F4866" w:rsidP="006F4866">
      <w:r>
        <w:t xml:space="preserve"> </w:t>
      </w:r>
    </w:p>
    <w:p w:rsidR="006F4866" w:rsidRDefault="006F4866" w:rsidP="006F4866">
      <w:pPr>
        <w:pStyle w:val="Akapitzlist"/>
        <w:numPr>
          <w:ilvl w:val="0"/>
          <w:numId w:val="1"/>
        </w:numPr>
        <w:jc w:val="both"/>
      </w:pPr>
      <w:r>
        <w:rPr>
          <w:b/>
        </w:rPr>
        <w:t xml:space="preserve">Dzieci i młodzież w konflikcie z prawem. </w:t>
      </w:r>
      <w:r>
        <w:t>Głównym aktem regulującym sytuację prawną nieletnich pozostających w konflikcie z prawem jest Ustawa z dnia 26 października 1982 roku o postępowaniu w sprawach nieletnich. Polskie prawo stopniuje sankcje w stosunku do osób łamiących prawo w zależności od wieku sprawców, stopnia szkodliwości czynów zabronionych oraz poziomu demoralizacji. W stosunku do najmłodszych sprawców /dzieci do lat 13/ stosuje się środki wychowawcze – upomnienie, zobowiązanie do naprawienia szkody, wykonania określonych prac, nadzór rodziców, nadzór kuratora, utrata rzeczy, umieszczenie w rodzinie zastępczej, umieszczenie w Ośrodku Szkolno-Wychowawczym, Młodzieżowym Ośrodku Socjoterapii lub Młodzieżowym Ośrodku Wychowawczym. Sąd dla nieletnich orzeka środki wychowawcze w stosunku do osób zdemoralizowanych oraz takich, które popełniły czyn karalny. Demoralizacja to odrzucenie obowiązujących norm moralnych, prowadzące do naruszania zasad współżycia społecznego oraz łamania prawa. Do przejawów demoralizacji zalicza się m.in.:</w:t>
      </w:r>
    </w:p>
    <w:p w:rsidR="006F4866" w:rsidRDefault="006F4866" w:rsidP="006F4866">
      <w:pPr>
        <w:pStyle w:val="Akapitzlist"/>
        <w:jc w:val="both"/>
      </w:pPr>
      <w:r>
        <w:rPr>
          <w:b/>
        </w:rPr>
        <w:t>-</w:t>
      </w:r>
      <w:r>
        <w:t xml:space="preserve"> uchylanie się od obowiązku szkolnego, wagary, zaniedbywanie nauki, łamanie regulaminu szkolnego, agresję wobec kolegów lub pracowników szkoły, niszczenie mienia publicznego,</w:t>
      </w:r>
    </w:p>
    <w:p w:rsidR="006F4866" w:rsidRDefault="006F4866" w:rsidP="006F4866">
      <w:pPr>
        <w:pStyle w:val="Akapitzlist"/>
        <w:jc w:val="both"/>
      </w:pPr>
      <w:r>
        <w:rPr>
          <w:b/>
        </w:rPr>
        <w:t>-</w:t>
      </w:r>
      <w:r>
        <w:t xml:space="preserve"> nieposłuszeństwo wobec rodziców, ucieczki z domu, przebywanie poza domem bez kontroli rodziców,</w:t>
      </w:r>
    </w:p>
    <w:p w:rsidR="006F4866" w:rsidRDefault="006F4866" w:rsidP="006F4866">
      <w:pPr>
        <w:pStyle w:val="Akapitzlist"/>
        <w:jc w:val="both"/>
      </w:pPr>
      <w:r>
        <w:rPr>
          <w:b/>
        </w:rPr>
        <w:t xml:space="preserve">- </w:t>
      </w:r>
      <w:r>
        <w:t>palenie tytoniu, używanie alkoholu lub narkotyków,</w:t>
      </w:r>
    </w:p>
    <w:p w:rsidR="006F4866" w:rsidRDefault="006F4866" w:rsidP="006F4866">
      <w:pPr>
        <w:pStyle w:val="Akapitzlist"/>
        <w:jc w:val="both"/>
      </w:pPr>
      <w:r>
        <w:t>- przedwczesne podejmowanie życia seksualnego lub sponsoring lub prostytucja,</w:t>
      </w:r>
    </w:p>
    <w:p w:rsidR="006F4866" w:rsidRDefault="006F4866" w:rsidP="006F4866">
      <w:pPr>
        <w:pStyle w:val="Akapitzlist"/>
        <w:jc w:val="both"/>
      </w:pPr>
      <w:r>
        <w:t>- włóczęgostwo, udział w grupach przestępczych.</w:t>
      </w:r>
    </w:p>
    <w:p w:rsidR="006F4866" w:rsidRDefault="006F4866" w:rsidP="006F4866">
      <w:pPr>
        <w:pStyle w:val="Akapitzlist"/>
        <w:jc w:val="both"/>
      </w:pPr>
      <w:r>
        <w:t xml:space="preserve">Sąd dla nieletnich może  także nakazać umieszczenie w szpitalu psychiatrycznym albo innym zakładzie leczniczym kogoś, kto jest chory psychicznie albo nałogowo używa alkoholu czy narkotyków. Jeśli środki wychowawcze okażą się niewystarczające, sąd dla nieletnich może orzec zastosowanie środka poprawczego, który jest najsurowszą sankcją. Do schroniska dla nieletnich kieruje się osoby w wieku 13-21 lat, podejrzane o dokonanie czynu karalnego, jeżeli okoliczności i charakter tego czynu, stopień demoralizacji i nieskuteczność dotychczasowych środków wychowawczych przemawiają za umieszczeniem nieletniego w zakładzie poprawczym w przyszłości. Pobyt w schronisku orzeka się  na czas nie dłuższy niż 3 miesiące.  W uzasadnionych przypadkach sąd może przedłużyć ten okres o kolejne 3 miesiące /nie dłużej jednak niż 1 rok/. Ze schronisk do zakładów poprawczych kierowani są nieletni, wobec których zastosowane środki oddziaływań okazały się nieskuteczne /są zdemoralizowani w wysokim stopniu/. Mogą tam przebywać do ukończenia 21 r.ż., jeśli nie został wobec nich zasądzony środek karny. Przyjęcie nieletniego do schroniska lub zakładu poprawczego (oraz jego zwolnienie) następuje na mocy orzeczenia sądu. </w:t>
      </w:r>
    </w:p>
    <w:p w:rsidR="006F4866" w:rsidRDefault="006F4866" w:rsidP="006F4866">
      <w:pPr>
        <w:pStyle w:val="Akapitzlist"/>
        <w:numPr>
          <w:ilvl w:val="0"/>
          <w:numId w:val="1"/>
        </w:numPr>
        <w:jc w:val="both"/>
      </w:pPr>
      <w:r>
        <w:rPr>
          <w:b/>
        </w:rPr>
        <w:t>Zasady odpowiedzialności osób nieletnich.</w:t>
      </w:r>
      <w:r>
        <w:t xml:space="preserve"> </w:t>
      </w:r>
    </w:p>
    <w:tbl>
      <w:tblPr>
        <w:tblStyle w:val="Tabela-Siatka"/>
        <w:tblW w:w="0" w:type="auto"/>
        <w:tblInd w:w="720" w:type="dxa"/>
        <w:tblLook w:val="04A0" w:firstRow="1" w:lastRow="0" w:firstColumn="1" w:lastColumn="0" w:noHBand="0" w:noVBand="1"/>
      </w:tblPr>
      <w:tblGrid>
        <w:gridCol w:w="2110"/>
        <w:gridCol w:w="6232"/>
      </w:tblGrid>
      <w:tr w:rsidR="006F4866" w:rsidTr="006F4866">
        <w:tc>
          <w:tcPr>
            <w:tcW w:w="211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center"/>
            </w:pPr>
            <w:r>
              <w:t>Wiek</w:t>
            </w:r>
          </w:p>
        </w:tc>
        <w:tc>
          <w:tcPr>
            <w:tcW w:w="623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center"/>
            </w:pPr>
            <w:r>
              <w:t>Zakres odpowiedzialności</w:t>
            </w:r>
          </w:p>
        </w:tc>
      </w:tr>
      <w:tr w:rsidR="006F4866" w:rsidTr="006F4866">
        <w:tc>
          <w:tcPr>
            <w:tcW w:w="211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Do 13 lat</w:t>
            </w:r>
          </w:p>
        </w:tc>
        <w:tc>
          <w:tcPr>
            <w:tcW w:w="623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Tylko środki wychowawcze.</w:t>
            </w:r>
          </w:p>
        </w:tc>
      </w:tr>
      <w:tr w:rsidR="006F4866" w:rsidTr="006F4866">
        <w:tc>
          <w:tcPr>
            <w:tcW w:w="211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Od 13 do 17 lat</w:t>
            </w:r>
          </w:p>
        </w:tc>
        <w:tc>
          <w:tcPr>
            <w:tcW w:w="623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Środki wychowawcze i poprawcze.</w:t>
            </w:r>
          </w:p>
        </w:tc>
      </w:tr>
      <w:tr w:rsidR="006F4866" w:rsidTr="006F4866">
        <w:tc>
          <w:tcPr>
            <w:tcW w:w="211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Od 15 do 17 lat</w:t>
            </w:r>
          </w:p>
        </w:tc>
        <w:tc>
          <w:tcPr>
            <w:tcW w:w="623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Wyjątkowo środki karne w stosunku osób, co do których wcześniej orzeczone środki wychowawcze i poprawcze okazały się bezskuteczne, a osoby te popełniły szczególnie ciężkie przestępstwo (na przykład rozbój, gwałt, zabójstwo, wzięcie zakładnika).</w:t>
            </w:r>
          </w:p>
        </w:tc>
      </w:tr>
      <w:tr w:rsidR="006F4866" w:rsidTr="006F4866">
        <w:tc>
          <w:tcPr>
            <w:tcW w:w="211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Od 17 lat</w:t>
            </w:r>
          </w:p>
        </w:tc>
        <w:tc>
          <w:tcPr>
            <w:tcW w:w="623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Środki karne (na przykład osadzenie w zakładzie karnym).</w:t>
            </w:r>
          </w:p>
        </w:tc>
      </w:tr>
    </w:tbl>
    <w:p w:rsidR="006F4866" w:rsidRDefault="006F4866" w:rsidP="006F4866">
      <w:pPr>
        <w:pStyle w:val="Akapitzlist"/>
        <w:jc w:val="both"/>
      </w:pPr>
    </w:p>
    <w:p w:rsidR="006F4866" w:rsidRDefault="006F4866" w:rsidP="006F4866">
      <w:pPr>
        <w:pStyle w:val="Akapitzlist"/>
        <w:numPr>
          <w:ilvl w:val="0"/>
          <w:numId w:val="1"/>
        </w:numPr>
        <w:jc w:val="both"/>
      </w:pPr>
      <w:r>
        <w:rPr>
          <w:b/>
        </w:rPr>
        <w:lastRenderedPageBreak/>
        <w:t>Przepisy ograniczające dostępność używek</w:t>
      </w:r>
      <w:r>
        <w:t>: Ustawa z dn. 9 XI 1995 r. o ochronie zdrowia przed następstwami używania tytoniu i wyrobów tytoniowych oraz jej nowelizacja z 8 IV 2010 r; Ustawa z dnia 26 X 1982r. o wychowaniu w trzeźwości i przeciwdziałaniu alkoholizmowi; Ustawa z dnia 29 lipca 2005 r. o przeciwdziałaniu narkomanii.</w:t>
      </w:r>
    </w:p>
    <w:p w:rsidR="006F4866" w:rsidRDefault="006F4866" w:rsidP="006F4866">
      <w:pPr>
        <w:pStyle w:val="Akapitzlist"/>
        <w:jc w:val="both"/>
      </w:pPr>
      <w:r>
        <w:t xml:space="preserve">Sprzedaż napojów alkoholowych i papierosów jest w Polsce dozwolona /tylko osobom pełnoletnim/, ale państwo, biorąc pod uwagę zdrowie i bezpieczeństwo obywateli, wprowadza ograniczenia dotyczące handlu, udostępniania i reklamy tych produktów. Produkcja  narkotyków i handel nimi jest w Polsce przestępstwem. Handel narkotykami jest zagrożony karą pozbawienia wolności do lat 10. Każdy kto ułatwia, nakłania do użycia środków odurzających, substancji psychotropowych inną osobę, podlega karze do lat 3 pozbawienia wolności, a jeżeli tą osobą jest nieletni – nawet do 8 lat. </w:t>
      </w:r>
    </w:p>
    <w:p w:rsidR="006F4866" w:rsidRDefault="006F4866" w:rsidP="006F4866">
      <w:pPr>
        <w:pStyle w:val="Akapitzlist"/>
        <w:jc w:val="both"/>
      </w:pPr>
      <w:r>
        <w:t xml:space="preserve">Palenie tytoniu, picie alkoholu i zażywanie narkotyków jest </w:t>
      </w:r>
      <w:r>
        <w:rPr>
          <w:b/>
        </w:rPr>
        <w:t>szkodliwe dla zdrowia</w:t>
      </w:r>
      <w:r>
        <w:t xml:space="preserve"> /np. papierosy – zwiększone ryzyko zachorowania na chorób nowotworowe, rozedma płuc; alkohol – marskość wątroby; narkotyki – niszczą mózg/, </w:t>
      </w:r>
      <w:r>
        <w:rPr>
          <w:b/>
        </w:rPr>
        <w:t>może także doprowadzić do uzależnienia</w:t>
      </w:r>
      <w:r>
        <w:t xml:space="preserve">. </w:t>
      </w:r>
    </w:p>
    <w:p w:rsidR="006F4866" w:rsidRDefault="006F4866" w:rsidP="006F4866">
      <w:pPr>
        <w:pStyle w:val="Akapitzlist"/>
        <w:jc w:val="both"/>
      </w:pPr>
      <w:r>
        <w:t xml:space="preserve">Leczenie uzależnienia od narkotyków i alkoholu jest dobrowolne, ale w przypadku osób nieletnich ich prawni opiekunowie mogą wnioskować do sądu o skierowanie ich na przymusowe leczenie. </w:t>
      </w:r>
    </w:p>
    <w:p w:rsidR="006F4866" w:rsidRDefault="006F4866" w:rsidP="006F4866">
      <w:pPr>
        <w:pStyle w:val="Akapitzlist"/>
        <w:jc w:val="both"/>
      </w:pPr>
      <w:r>
        <w:t xml:space="preserve">Polskie przepisy karne, w przypadku osoby będącej w stanie nietrzeźwości /po spożyciu alkoholu lub narkotyków/ przewidują zaostrzenie kary za spowodowanie wypadku /nawet do 12 lat pozbawienia wolności/. </w:t>
      </w:r>
    </w:p>
    <w:p w:rsidR="006F4866" w:rsidRDefault="006F4866" w:rsidP="006F4866">
      <w:pPr>
        <w:pStyle w:val="Akapitzlist"/>
        <w:numPr>
          <w:ilvl w:val="0"/>
          <w:numId w:val="1"/>
        </w:numPr>
        <w:jc w:val="both"/>
        <w:rPr>
          <w:b/>
        </w:rPr>
      </w:pPr>
      <w:r>
        <w:rPr>
          <w:b/>
        </w:rPr>
        <w:t>Wpływ alkoholu na organizm człowieka w zależności od jego stężenia we krwi.</w:t>
      </w:r>
    </w:p>
    <w:tbl>
      <w:tblPr>
        <w:tblStyle w:val="Tabela-Siatka"/>
        <w:tblW w:w="0" w:type="auto"/>
        <w:tblInd w:w="720" w:type="dxa"/>
        <w:tblLook w:val="04A0" w:firstRow="1" w:lastRow="0" w:firstColumn="1" w:lastColumn="0" w:noHBand="0" w:noVBand="1"/>
      </w:tblPr>
      <w:tblGrid>
        <w:gridCol w:w="2252"/>
        <w:gridCol w:w="6090"/>
      </w:tblGrid>
      <w:tr w:rsidR="006F4866" w:rsidTr="006F4866">
        <w:tc>
          <w:tcPr>
            <w:tcW w:w="225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center"/>
              <w:rPr>
                <w:b/>
              </w:rPr>
            </w:pPr>
            <w:r>
              <w:rPr>
                <w:b/>
              </w:rPr>
              <w:t>stężenie</w:t>
            </w:r>
          </w:p>
        </w:tc>
        <w:tc>
          <w:tcPr>
            <w:tcW w:w="609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center"/>
              <w:rPr>
                <w:b/>
              </w:rPr>
            </w:pPr>
            <w:r>
              <w:rPr>
                <w:b/>
              </w:rPr>
              <w:t>objawy</w:t>
            </w:r>
          </w:p>
        </w:tc>
      </w:tr>
      <w:tr w:rsidR="006F4866" w:rsidTr="006F4866">
        <w:tc>
          <w:tcPr>
            <w:tcW w:w="225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0,3-0,5 promila</w:t>
            </w:r>
          </w:p>
        </w:tc>
        <w:tc>
          <w:tcPr>
            <w:tcW w:w="609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Niewielkie zaburzenia równowagi, euforia, obniżenie krytycyzmu, upośledzenie koordynacji wzrokowo-ruchowej, zaburzenia widzenia.</w:t>
            </w:r>
          </w:p>
        </w:tc>
      </w:tr>
      <w:tr w:rsidR="006F4866" w:rsidTr="006F4866">
        <w:tc>
          <w:tcPr>
            <w:tcW w:w="225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Do 0,7 promila</w:t>
            </w:r>
          </w:p>
        </w:tc>
        <w:tc>
          <w:tcPr>
            <w:tcW w:w="609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Nieznaczne osłabienie refleksu, nadmierna pobudliwość i gadatliwość, obniżenie samokontroli, błędna ocena własnych możliwości.</w:t>
            </w:r>
          </w:p>
        </w:tc>
      </w:tr>
      <w:tr w:rsidR="006F4866" w:rsidTr="006F4866">
        <w:tc>
          <w:tcPr>
            <w:tcW w:w="225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Do 2 promili</w:t>
            </w:r>
          </w:p>
        </w:tc>
        <w:tc>
          <w:tcPr>
            <w:tcW w:w="609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Zaburzenia równowagi, sprawności i koordynacji ruchowej, obniżenie progu bólu, błędy w logicznym rozumowaniu, wadliwe wyciąganie wniosków, opóźnienie czasu reakcji, drażliwość, obniżona tolerancja, zachowania agresywne, pobudzenie seksualne, wzrost ciśnienia krwi, przyspieszenie akcji serca.</w:t>
            </w:r>
          </w:p>
        </w:tc>
      </w:tr>
      <w:tr w:rsidR="006F4866" w:rsidTr="006F4866">
        <w:tc>
          <w:tcPr>
            <w:tcW w:w="225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Do 3 promili</w:t>
            </w:r>
          </w:p>
        </w:tc>
        <w:tc>
          <w:tcPr>
            <w:tcW w:w="609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 xml:space="preserve">Bełkotliwa mowa, wyraźne spowolnienie i zaburzenia równowagi, senność, znacznie obniżona zdolność do kontroli własnych </w:t>
            </w:r>
            <w:proofErr w:type="spellStart"/>
            <w:r>
              <w:t>zachowań</w:t>
            </w:r>
            <w:proofErr w:type="spellEnd"/>
            <w:r>
              <w:t>.</w:t>
            </w:r>
          </w:p>
        </w:tc>
      </w:tr>
      <w:tr w:rsidR="006F4866" w:rsidTr="006F4866">
        <w:tc>
          <w:tcPr>
            <w:tcW w:w="225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Do 4 promili</w:t>
            </w:r>
          </w:p>
        </w:tc>
        <w:tc>
          <w:tcPr>
            <w:tcW w:w="609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Spadek ciśnienia krwi, obniżenie ciepłoty ciała, osłabienie lub zanik odruchów fizjologicznych, głębokie zaburzenia świadomości prowadzące do śpiączki.</w:t>
            </w:r>
          </w:p>
        </w:tc>
      </w:tr>
      <w:tr w:rsidR="006F4866" w:rsidTr="006F4866">
        <w:tc>
          <w:tcPr>
            <w:tcW w:w="2252"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Powyżej 4 promili</w:t>
            </w:r>
          </w:p>
        </w:tc>
        <w:tc>
          <w:tcPr>
            <w:tcW w:w="6090" w:type="dxa"/>
            <w:tcBorders>
              <w:top w:val="single" w:sz="4" w:space="0" w:color="auto"/>
              <w:left w:val="single" w:sz="4" w:space="0" w:color="auto"/>
              <w:bottom w:val="single" w:sz="4" w:space="0" w:color="auto"/>
              <w:right w:val="single" w:sz="4" w:space="0" w:color="auto"/>
            </w:tcBorders>
            <w:hideMark/>
          </w:tcPr>
          <w:p w:rsidR="006F4866" w:rsidRDefault="006F4866">
            <w:pPr>
              <w:pStyle w:val="Akapitzlist"/>
              <w:spacing w:line="240" w:lineRule="auto"/>
              <w:ind w:left="0"/>
              <w:jc w:val="both"/>
            </w:pPr>
            <w:r>
              <w:t>Głęboka śpiączka, zaburzenia czynności ośrodka oddechowego i naczyniowo-ruchowego, możliwość porażenia tych ośrodków przez alkohol.</w:t>
            </w:r>
          </w:p>
        </w:tc>
      </w:tr>
    </w:tbl>
    <w:p w:rsidR="006F4866" w:rsidRDefault="006F4866" w:rsidP="006F4866">
      <w:pPr>
        <w:pStyle w:val="Akapitzlist"/>
        <w:jc w:val="both"/>
        <w:rPr>
          <w:b/>
        </w:rPr>
      </w:pPr>
    </w:p>
    <w:p w:rsidR="006F4866" w:rsidRDefault="006F4866" w:rsidP="006F4866">
      <w:pPr>
        <w:jc w:val="both"/>
      </w:pPr>
    </w:p>
    <w:p w:rsidR="006F4866" w:rsidRDefault="006F4866" w:rsidP="006F4866"/>
    <w:p w:rsidR="003A6526" w:rsidRDefault="003A6526"/>
    <w:sectPr w:rsidR="003A6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77A00"/>
    <w:multiLevelType w:val="hybridMultilevel"/>
    <w:tmpl w:val="77F46A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66"/>
    <w:rsid w:val="000F0AF0"/>
    <w:rsid w:val="003A6526"/>
    <w:rsid w:val="006F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B46C0-3E61-4CD8-9F16-2440EA0F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86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866"/>
    <w:pPr>
      <w:ind w:left="720"/>
      <w:contextualSpacing/>
    </w:pPr>
  </w:style>
  <w:style w:type="table" w:styleId="Tabela-Siatka">
    <w:name w:val="Table Grid"/>
    <w:basedOn w:val="Standardowy"/>
    <w:uiPriority w:val="39"/>
    <w:rsid w:val="006F48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5156</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Dyrektor</cp:lastModifiedBy>
  <cp:revision>2</cp:revision>
  <dcterms:created xsi:type="dcterms:W3CDTF">2021-04-02T09:03:00Z</dcterms:created>
  <dcterms:modified xsi:type="dcterms:W3CDTF">2021-04-02T09:03:00Z</dcterms:modified>
</cp:coreProperties>
</file>